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ascii="方正小标宋简体" w:hAnsi="Times New Roman" w:eastAsia="方正小标宋简体"/>
          <w:color w:val="000000"/>
          <w:sz w:val="44"/>
          <w:szCs w:val="44"/>
        </w:rPr>
      </w:pPr>
      <w:r>
        <w:rPr>
          <w:rFonts w:hint="eastAsia" w:ascii="方正小标宋简体" w:hAnsi="Times New Roman" w:eastAsia="方正小标宋简体"/>
          <w:color w:val="000000"/>
          <w:sz w:val="44"/>
          <w:szCs w:val="44"/>
        </w:rPr>
        <w:t>第一类体外诊断试剂备案信息表</w:t>
      </w:r>
    </w:p>
    <w:p>
      <w:pPr>
        <w:adjustRightInd w:val="0"/>
        <w:snapToGrid w:val="0"/>
        <w:spacing w:line="580" w:lineRule="exact"/>
        <w:ind w:firstLine="480" w:firstLineChars="200"/>
        <w:jc w:val="left"/>
        <w:rPr>
          <w:rFonts w:hint="default" w:ascii="Times New Roman" w:hAnsi="Times New Roman" w:eastAsia="宋体"/>
          <w:color w:val="000000"/>
          <w:sz w:val="24"/>
          <w:lang w:val="en-US" w:eastAsia="zh-CN"/>
        </w:rPr>
      </w:pPr>
      <w:r>
        <w:rPr>
          <w:rFonts w:hint="eastAsia" w:ascii="Times New Roman" w:hAnsi="Times New Roman"/>
          <w:color w:val="000000"/>
          <w:sz w:val="24"/>
        </w:rPr>
        <w:t xml:space="preserve">                            </w:t>
      </w:r>
      <w:r>
        <w:rPr>
          <w:rFonts w:ascii="Times New Roman" w:hAnsi="Times New Roman"/>
          <w:color w:val="000000"/>
          <w:sz w:val="24"/>
        </w:rPr>
        <w:t>备案</w:t>
      </w:r>
      <w:r>
        <w:rPr>
          <w:rFonts w:hint="eastAsia" w:ascii="Times New Roman" w:hAnsi="Times New Roman"/>
          <w:color w:val="000000"/>
          <w:sz w:val="24"/>
        </w:rPr>
        <w:t>编</w:t>
      </w:r>
      <w:r>
        <w:rPr>
          <w:rFonts w:ascii="Times New Roman" w:hAnsi="Times New Roman"/>
          <w:color w:val="000000"/>
          <w:sz w:val="24"/>
        </w:rPr>
        <w:t>号：</w:t>
      </w:r>
      <w:r>
        <w:rPr>
          <w:rFonts w:hint="eastAsia" w:ascii="Times New Roman" w:hAnsi="Times New Roman"/>
          <w:color w:val="000000"/>
          <w:sz w:val="24"/>
        </w:rPr>
        <w:t>闽榕械备20180156号</w:t>
      </w:r>
    </w:p>
    <w:tbl>
      <w:tblPr>
        <w:tblStyle w:val="4"/>
        <w:tblW w:w="90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2"/>
        <w:gridCol w:w="72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742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Times New Roman" w:eastAsia="仿宋_GB2312"/>
              </w:rPr>
            </w:pPr>
            <w:r>
              <w:rPr>
                <w:rFonts w:ascii="仿宋_GB2312" w:hAnsi="Times New Roman" w:eastAsia="仿宋_GB2312"/>
              </w:rPr>
              <w:t>备案人名称</w:t>
            </w:r>
          </w:p>
        </w:tc>
        <w:tc>
          <w:tcPr>
            <w:tcW w:w="7297" w:type="dxa"/>
            <w:vAlign w:val="center"/>
          </w:tcPr>
          <w:p>
            <w:pPr>
              <w:spacing w:line="360" w:lineRule="auto"/>
              <w:jc w:val="left"/>
              <w:rPr>
                <w:rFonts w:ascii="仿宋_GB2312" w:hAnsi="Times New Roman" w:eastAsia="仿宋_GB2312"/>
              </w:rPr>
            </w:pPr>
            <w:r>
              <w:rPr>
                <w:rFonts w:hint="eastAsia" w:ascii="仿宋_GB2312" w:hAnsi="Times New Roman" w:eastAsia="仿宋_GB2312"/>
              </w:rPr>
              <w:t>福州迈新生物技术开发有限公司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742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Times New Roman" w:eastAsia="仿宋_GB2312"/>
              </w:rPr>
            </w:pPr>
            <w:r>
              <w:rPr>
                <w:rFonts w:ascii="仿宋_GB2312" w:hAnsi="Times New Roman" w:eastAsia="仿宋_GB2312"/>
              </w:rPr>
              <w:t>备案人</w:t>
            </w:r>
            <w:r>
              <w:rPr>
                <w:rFonts w:hint="eastAsia" w:ascii="仿宋_GB2312" w:hAnsi="Times New Roman" w:eastAsia="仿宋_GB2312"/>
              </w:rPr>
              <w:t>统一社会信用代码</w:t>
            </w:r>
          </w:p>
        </w:tc>
        <w:tc>
          <w:tcPr>
            <w:tcW w:w="7297" w:type="dxa"/>
            <w:vAlign w:val="center"/>
          </w:tcPr>
          <w:p>
            <w:pPr>
              <w:spacing w:line="360" w:lineRule="auto"/>
              <w:jc w:val="left"/>
              <w:rPr>
                <w:rFonts w:ascii="仿宋_GB2312" w:hAnsi="Times New Roman" w:eastAsia="仿宋_GB2312"/>
              </w:rPr>
            </w:pPr>
            <w:r>
              <w:rPr>
                <w:rFonts w:hint="eastAsia" w:ascii="仿宋_GB2312" w:hAnsi="Times New Roman" w:eastAsia="仿宋_GB2312"/>
              </w:rPr>
              <w:t>913501001546216270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742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Times New Roman" w:eastAsia="仿宋_GB2312"/>
              </w:rPr>
            </w:pPr>
            <w:r>
              <w:rPr>
                <w:rFonts w:ascii="仿宋_GB2312" w:hAnsi="Times New Roman" w:eastAsia="仿宋_GB2312"/>
              </w:rPr>
              <w:t>备案人</w:t>
            </w:r>
            <w:r>
              <w:rPr>
                <w:rFonts w:hint="eastAsia" w:ascii="仿宋_GB2312" w:hAnsi="Times New Roman" w:eastAsia="仿宋_GB2312"/>
              </w:rPr>
              <w:t>住所</w:t>
            </w:r>
          </w:p>
        </w:tc>
        <w:tc>
          <w:tcPr>
            <w:tcW w:w="7297" w:type="dxa"/>
            <w:vAlign w:val="center"/>
          </w:tcPr>
          <w:p>
            <w:pPr>
              <w:spacing w:line="360" w:lineRule="auto"/>
              <w:jc w:val="left"/>
              <w:rPr>
                <w:rFonts w:ascii="仿宋_GB2312" w:hAnsi="Times New Roman" w:eastAsia="仿宋_GB2312"/>
              </w:rPr>
            </w:pPr>
            <w:r>
              <w:rPr>
                <w:rFonts w:hint="eastAsia" w:ascii="仿宋_GB2312" w:hAnsi="Times New Roman" w:eastAsia="仿宋_GB2312"/>
                <w:lang w:val="en-US" w:eastAsia="zh-CN"/>
              </w:rPr>
              <w:t>福建省闽侯县上街镇高新大道115-1号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742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Times New Roman" w:eastAsia="仿宋_GB2312"/>
              </w:rPr>
            </w:pPr>
            <w:r>
              <w:rPr>
                <w:rFonts w:ascii="仿宋_GB2312" w:hAnsi="Times New Roman" w:eastAsia="仿宋_GB2312"/>
              </w:rPr>
              <w:t>生产地址</w:t>
            </w:r>
          </w:p>
        </w:tc>
        <w:tc>
          <w:tcPr>
            <w:tcW w:w="7297" w:type="dxa"/>
            <w:vAlign w:val="center"/>
          </w:tcPr>
          <w:p>
            <w:pPr>
              <w:spacing w:line="360" w:lineRule="auto"/>
              <w:jc w:val="left"/>
              <w:rPr>
                <w:rFonts w:ascii="仿宋_GB2312" w:hAnsi="Times New Roman" w:eastAsia="仿宋_GB2312"/>
              </w:rPr>
            </w:pPr>
            <w:r>
              <w:rPr>
                <w:rFonts w:hint="eastAsia" w:ascii="仿宋_GB2312" w:hAnsi="Times New Roman" w:eastAsia="仿宋_GB2312"/>
                <w:lang w:val="en-US" w:eastAsia="zh-CN"/>
              </w:rPr>
              <w:t>福建省闽侯县上街镇高新大道115-1号2号楼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742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Times New Roman" w:eastAsia="仿宋_GB2312"/>
              </w:rPr>
            </w:pPr>
            <w:r>
              <w:rPr>
                <w:rFonts w:ascii="仿宋_GB2312" w:hAnsi="Times New Roman" w:eastAsia="仿宋_GB2312"/>
              </w:rPr>
              <w:t>代理人</w:t>
            </w:r>
          </w:p>
        </w:tc>
        <w:tc>
          <w:tcPr>
            <w:tcW w:w="7297" w:type="dxa"/>
            <w:vAlign w:val="center"/>
          </w:tcPr>
          <w:p>
            <w:pPr>
              <w:spacing w:line="360" w:lineRule="auto"/>
              <w:jc w:val="left"/>
              <w:rPr>
                <w:rFonts w:ascii="仿宋_GB2312" w:hAnsi="Times New Roman" w:eastAsia="仿宋_GB2312"/>
              </w:rPr>
            </w:pPr>
            <w:r>
              <w:rPr>
                <w:rFonts w:hint="eastAsia" w:ascii="仿宋_GB2312" w:hAnsi="Times New Roman" w:eastAsia="仿宋_GB2312"/>
              </w:rPr>
              <w:t>--------------------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742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Times New Roman" w:eastAsia="仿宋_GB2312"/>
              </w:rPr>
            </w:pPr>
            <w:r>
              <w:rPr>
                <w:rFonts w:ascii="仿宋_GB2312" w:hAnsi="Times New Roman" w:eastAsia="仿宋_GB2312"/>
              </w:rPr>
              <w:t>代理人</w:t>
            </w:r>
            <w:r>
              <w:rPr>
                <w:rFonts w:hint="eastAsia" w:ascii="仿宋_GB2312" w:hAnsi="Times New Roman" w:eastAsia="仿宋_GB2312"/>
              </w:rPr>
              <w:t>住所</w:t>
            </w:r>
          </w:p>
        </w:tc>
        <w:tc>
          <w:tcPr>
            <w:tcW w:w="7297" w:type="dxa"/>
            <w:vAlign w:val="center"/>
          </w:tcPr>
          <w:p>
            <w:pPr>
              <w:spacing w:line="360" w:lineRule="auto"/>
              <w:jc w:val="left"/>
              <w:rPr>
                <w:rFonts w:ascii="仿宋_GB2312" w:hAnsi="Times New Roman" w:eastAsia="仿宋_GB2312"/>
              </w:rPr>
            </w:pPr>
            <w:r>
              <w:rPr>
                <w:rFonts w:hint="eastAsia" w:ascii="仿宋_GB2312" w:hAnsi="Times New Roman" w:eastAsia="仿宋_GB2312"/>
              </w:rPr>
              <w:t>--------------------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742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Times New Roman" w:eastAsia="仿宋_GB2312"/>
              </w:rPr>
            </w:pPr>
            <w:r>
              <w:rPr>
                <w:rFonts w:ascii="仿宋_GB2312" w:hAnsi="Times New Roman" w:eastAsia="仿宋_GB2312"/>
              </w:rPr>
              <w:t>产品分类名称</w:t>
            </w:r>
            <w:r>
              <w:rPr>
                <w:rFonts w:hint="eastAsia" w:ascii="仿宋_GB2312" w:hAnsi="Times New Roman" w:eastAsia="仿宋_GB2312"/>
              </w:rPr>
              <w:t>（产品名称）</w:t>
            </w:r>
          </w:p>
        </w:tc>
        <w:tc>
          <w:tcPr>
            <w:tcW w:w="7297" w:type="dxa"/>
            <w:vAlign w:val="center"/>
          </w:tcPr>
          <w:p>
            <w:pPr>
              <w:spacing w:line="360" w:lineRule="auto"/>
              <w:jc w:val="left"/>
              <w:rPr>
                <w:rFonts w:ascii="仿宋_GB2312" w:hAnsi="Times New Roman" w:eastAsia="仿宋_GB2312"/>
              </w:rPr>
            </w:pPr>
            <w:r>
              <w:rPr>
                <w:rFonts w:hint="eastAsia" w:ascii="仿宋_GB2312" w:hAnsi="Times New Roman" w:eastAsia="仿宋_GB2312"/>
                <w:lang w:val="en-US" w:eastAsia="zh-CN"/>
              </w:rPr>
              <w:t>Kappa链抗体试剂（免疫组织化学）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742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Times New Roman" w:eastAsia="仿宋_GB2312"/>
              </w:rPr>
            </w:pPr>
            <w:r>
              <w:rPr>
                <w:rFonts w:ascii="仿宋_GB2312" w:hAnsi="Times New Roman" w:eastAsia="仿宋_GB2312"/>
              </w:rPr>
              <w:t>包装规格</w:t>
            </w:r>
          </w:p>
        </w:tc>
        <w:tc>
          <w:tcPr>
            <w:tcW w:w="7297" w:type="dxa"/>
            <w:vAlign w:val="center"/>
          </w:tcPr>
          <w:p>
            <w:pPr>
              <w:spacing w:line="360" w:lineRule="auto"/>
              <w:jc w:val="left"/>
              <w:rPr>
                <w:rFonts w:ascii="仿宋_GB2312" w:hAnsi="Times New Roman" w:eastAsia="仿宋_GB2312"/>
              </w:rPr>
            </w:pPr>
            <w:r>
              <w:rPr>
                <w:rFonts w:hint="eastAsia" w:ascii="仿宋_GB2312" w:hAnsi="Times New Roman" w:eastAsia="仿宋_GB2312"/>
              </w:rPr>
              <w:t>即用型：1.5ml/瓶、3.0ml/瓶、6.0ml/瓶、15ml/瓶</w:t>
            </w:r>
            <w:r>
              <w:rPr>
                <w:rFonts w:hint="eastAsia" w:ascii="仿宋_GB2312" w:hAnsi="Times New Roman" w:eastAsia="仿宋_GB2312"/>
                <w:lang w:eastAsia="zh-CN"/>
              </w:rPr>
              <w:t>、</w:t>
            </w:r>
            <w:r>
              <w:rPr>
                <w:rFonts w:hint="eastAsia" w:ascii="仿宋_GB2312" w:hAnsi="Times New Roman" w:eastAsia="仿宋_GB2312"/>
                <w:lang w:val="en-US" w:eastAsia="zh-CN"/>
              </w:rPr>
              <w:t>90</w:t>
            </w:r>
            <w:r>
              <w:rPr>
                <w:rFonts w:hint="eastAsia" w:ascii="仿宋_GB2312" w:hAnsi="Times New Roman" w:eastAsia="仿宋_GB2312"/>
              </w:rPr>
              <w:t>ml/瓶；</w:t>
            </w:r>
          </w:p>
          <w:p>
            <w:pPr>
              <w:spacing w:line="360" w:lineRule="auto"/>
              <w:jc w:val="left"/>
              <w:rPr>
                <w:rFonts w:ascii="仿宋_GB2312" w:hAnsi="Times New Roman" w:eastAsia="仿宋_GB2312"/>
              </w:rPr>
            </w:pPr>
            <w:r>
              <w:rPr>
                <w:rFonts w:hint="eastAsia" w:ascii="仿宋_GB2312" w:hAnsi="Times New Roman" w:eastAsia="仿宋_GB2312"/>
              </w:rPr>
              <w:t>浓缩型：0.1ml/瓶、0.2ml/瓶、1.0ml/瓶</w:t>
            </w:r>
            <w:r>
              <w:rPr>
                <w:rFonts w:hint="eastAsia" w:ascii="仿宋_GB2312" w:hAnsi="Times New Roman" w:eastAsia="仿宋_GB2312"/>
                <w:lang w:eastAsia="zh-CN"/>
              </w:rPr>
              <w:t>、</w:t>
            </w:r>
            <w:r>
              <w:rPr>
                <w:rFonts w:hint="eastAsia" w:ascii="仿宋_GB2312" w:hAnsi="Times New Roman" w:eastAsia="仿宋_GB2312"/>
                <w:lang w:val="en-US" w:eastAsia="zh-CN"/>
              </w:rPr>
              <w:t>10</w:t>
            </w:r>
            <w:r>
              <w:rPr>
                <w:rFonts w:hint="eastAsia" w:ascii="仿宋_GB2312" w:hAnsi="Times New Roman" w:eastAsia="仿宋_GB2312"/>
              </w:rPr>
              <w:t>ml/瓶。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1742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Times New Roman" w:eastAsia="仿宋_GB2312"/>
              </w:rPr>
            </w:pPr>
            <w:r>
              <w:rPr>
                <w:rFonts w:ascii="仿宋_GB2312" w:hAnsi="Times New Roman" w:eastAsia="仿宋_GB2312"/>
              </w:rPr>
              <w:t>产品有效期</w:t>
            </w:r>
          </w:p>
        </w:tc>
        <w:tc>
          <w:tcPr>
            <w:tcW w:w="7297" w:type="dxa"/>
            <w:vAlign w:val="center"/>
          </w:tcPr>
          <w:p>
            <w:pPr>
              <w:spacing w:line="360" w:lineRule="auto"/>
              <w:jc w:val="left"/>
              <w:rPr>
                <w:rFonts w:ascii="仿宋_GB2312" w:hAnsi="Times New Roman" w:eastAsia="仿宋_GB2312"/>
              </w:rPr>
            </w:pPr>
            <w:r>
              <w:rPr>
                <w:rFonts w:hint="eastAsia" w:ascii="仿宋_GB2312" w:hAnsi="Times New Roman" w:eastAsia="仿宋_GB2312"/>
              </w:rPr>
              <w:t>2</w:t>
            </w:r>
            <w:r>
              <w:rPr>
                <w:rFonts w:hint="eastAsia" w:ascii="Times New Roman" w:hAnsi="Times New Roman" w:eastAsia="仿宋_GB2312"/>
                <w:lang w:eastAsia="zh-CN"/>
              </w:rPr>
              <w:t>~</w:t>
            </w:r>
            <w:r>
              <w:rPr>
                <w:rFonts w:hint="eastAsia" w:ascii="仿宋_GB2312" w:hAnsi="Times New Roman" w:eastAsia="仿宋_GB2312"/>
              </w:rPr>
              <w:t>8℃保存，禁止冻存。有效期18个月。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742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Times New Roman" w:eastAsia="仿宋_GB2312"/>
              </w:rPr>
            </w:pPr>
            <w:r>
              <w:rPr>
                <w:rFonts w:hint="eastAsia" w:ascii="仿宋_GB2312" w:hAnsi="Times New Roman" w:eastAsia="仿宋_GB2312"/>
              </w:rPr>
              <w:t>主要组成成分</w:t>
            </w:r>
          </w:p>
        </w:tc>
        <w:tc>
          <w:tcPr>
            <w:tcW w:w="7297" w:type="dxa"/>
            <w:vAlign w:val="center"/>
          </w:tcPr>
          <w:p>
            <w:pPr>
              <w:spacing w:line="360" w:lineRule="auto"/>
              <w:jc w:val="left"/>
              <w:rPr>
                <w:rFonts w:ascii="仿宋_GB2312" w:hAnsi="Times New Roman" w:eastAsia="仿宋_GB2312"/>
              </w:rPr>
            </w:pPr>
            <w:r>
              <w:rPr>
                <w:rFonts w:hint="eastAsia" w:ascii="仿宋_GB2312" w:hAnsi="Times New Roman" w:eastAsia="仿宋_GB2312"/>
              </w:rPr>
              <w:t>由Kappa链抗体（兔多抗；或鼠单抗，克隆号L1C1；或鼠单抗，克隆号MX154）和缓冲液（磷酸钠盐、牛血清白蛋白、proclin950）组成。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742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Times New Roman" w:eastAsia="仿宋_GB2312"/>
              </w:rPr>
            </w:pPr>
            <w:r>
              <w:rPr>
                <w:rFonts w:hint="eastAsia" w:ascii="仿宋_GB2312" w:hAnsi="Times New Roman" w:eastAsia="仿宋_GB2312"/>
              </w:rPr>
              <w:t>预期用途</w:t>
            </w:r>
          </w:p>
        </w:tc>
        <w:tc>
          <w:tcPr>
            <w:tcW w:w="7297" w:type="dxa"/>
            <w:vAlign w:val="center"/>
          </w:tcPr>
          <w:p>
            <w:pPr>
              <w:spacing w:line="360" w:lineRule="auto"/>
              <w:jc w:val="left"/>
              <w:rPr>
                <w:rFonts w:ascii="仿宋_GB2312" w:hAnsi="Times New Roman" w:eastAsia="仿宋_GB2312"/>
              </w:rPr>
            </w:pPr>
            <w:r>
              <w:rPr>
                <w:rFonts w:hint="eastAsia" w:ascii="仿宋_GB2312" w:hAnsi="Times New Roman" w:eastAsia="仿宋_GB2312"/>
              </w:rPr>
              <w:t>在常规染色（如：HE染色）基础上进行免疫组织化学染色，为病理医师提供诊断的辅助信息，不得用于指导临床用药或伴随诊断。</w:t>
            </w:r>
            <w:bookmarkStart w:id="1" w:name="_GoBack"/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742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Times New Roman" w:eastAsia="仿宋_GB2312"/>
              </w:rPr>
            </w:pPr>
            <w:r>
              <w:rPr>
                <w:rFonts w:ascii="仿宋_GB2312" w:hAnsi="Times New Roman" w:eastAsia="仿宋_GB2312"/>
              </w:rPr>
              <w:t>备注</w:t>
            </w:r>
          </w:p>
        </w:tc>
        <w:tc>
          <w:tcPr>
            <w:tcW w:w="7297" w:type="dxa"/>
          </w:tcPr>
          <w:p>
            <w:pPr>
              <w:spacing w:line="360" w:lineRule="auto"/>
              <w:jc w:val="left"/>
              <w:rPr>
                <w:rFonts w:ascii="仿宋_GB2312" w:hAnsi="Times New Roman" w:eastAsia="仿宋_GB2312"/>
              </w:rPr>
            </w:pPr>
            <w:r>
              <w:rPr>
                <w:rFonts w:hint="eastAsia" w:ascii="仿宋_GB2312" w:hAnsi="Times New Roman" w:eastAsia="仿宋_GB2312"/>
              </w:rPr>
              <w:t>--------------------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  <w:jc w:val="center"/>
        </w:trPr>
        <w:tc>
          <w:tcPr>
            <w:tcW w:w="1742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/>
              </w:rPr>
            </w:pPr>
            <w:r>
              <w:rPr>
                <w:rFonts w:ascii="仿宋_GB2312" w:hAnsi="Times New Roman" w:eastAsia="仿宋_GB2312"/>
              </w:rPr>
              <w:t>备案</w:t>
            </w:r>
            <w:r>
              <w:rPr>
                <w:rFonts w:hint="eastAsia" w:ascii="仿宋_GB2312" w:hAnsi="Times New Roman" w:eastAsia="仿宋_GB2312"/>
              </w:rPr>
              <w:t>部门</w:t>
            </w:r>
          </w:p>
          <w:p>
            <w:pPr>
              <w:spacing w:line="280" w:lineRule="exact"/>
              <w:jc w:val="center"/>
              <w:rPr>
                <w:rFonts w:ascii="仿宋_GB2312" w:hAnsi="Times New Roman" w:eastAsia="仿宋_GB2312"/>
              </w:rPr>
            </w:pPr>
            <w:r>
              <w:rPr>
                <w:rFonts w:hint="eastAsia" w:ascii="仿宋_GB2312" w:hAnsi="Times New Roman" w:eastAsia="仿宋_GB2312"/>
              </w:rPr>
              <w:t>备案</w:t>
            </w:r>
            <w:r>
              <w:rPr>
                <w:rFonts w:ascii="仿宋_GB2312" w:hAnsi="Times New Roman" w:eastAsia="仿宋_GB2312"/>
              </w:rPr>
              <w:t>日期</w:t>
            </w:r>
          </w:p>
        </w:tc>
        <w:tc>
          <w:tcPr>
            <w:tcW w:w="72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790"/>
              <w:jc w:val="center"/>
              <w:textAlignment w:val="auto"/>
              <w:rPr>
                <w:rFonts w:ascii="仿宋_GB2312" w:hAnsi="Times New Roman" w:eastAsia="仿宋_GB2312"/>
              </w:rPr>
            </w:pPr>
            <w:r>
              <w:rPr>
                <w:rFonts w:hint="eastAsia" w:ascii="仿宋_GB2312" w:hAnsi="Times New Roman" w:eastAsia="仿宋_GB2312"/>
              </w:rPr>
              <w:t xml:space="preserve">                                  福州市市场监督管理局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735"/>
              <w:jc w:val="center"/>
              <w:textAlignment w:val="auto"/>
              <w:rPr>
                <w:rFonts w:hint="eastAsia" w:ascii="仿宋_GB2312" w:hAnsi="Times New Roman" w:eastAsia="仿宋_GB2312"/>
                <w:lang w:eastAsia="zh-CN"/>
              </w:rPr>
            </w:pPr>
            <w:r>
              <w:rPr>
                <w:rFonts w:hint="eastAsia" w:ascii="仿宋_GB2312" w:hAnsi="Times New Roman" w:eastAsia="仿宋_GB2312"/>
              </w:rPr>
              <w:t xml:space="preserve">                                 </w:t>
            </w:r>
            <w:r>
              <w:rPr>
                <w:rFonts w:ascii="仿宋_GB2312" w:hAnsi="Times New Roman" w:eastAsia="仿宋_GB2312"/>
              </w:rPr>
              <w:t>备案日期：</w:t>
            </w: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2026年6月25日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8" w:hRule="atLeast"/>
          <w:jc w:val="center"/>
        </w:trPr>
        <w:tc>
          <w:tcPr>
            <w:tcW w:w="1742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Times New Roman" w:eastAsia="仿宋_GB2312"/>
                <w:color w:val="auto"/>
              </w:rPr>
            </w:pPr>
            <w:r>
              <w:rPr>
                <w:rFonts w:ascii="仿宋_GB2312" w:hAnsi="Times New Roman" w:eastAsia="仿宋_GB2312"/>
                <w:color w:val="auto"/>
              </w:rPr>
              <w:t>变更情况</w:t>
            </w:r>
          </w:p>
        </w:tc>
        <w:tc>
          <w:tcPr>
            <w:tcW w:w="7297" w:type="dxa"/>
          </w:tcPr>
          <w:p>
            <w:pPr>
              <w:spacing w:line="360" w:lineRule="auto"/>
              <w:jc w:val="left"/>
              <w:rPr>
                <w:rFonts w:hint="eastAsia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2018年3月7日，该企业申请产品备案。</w:t>
            </w:r>
          </w:p>
          <w:p>
            <w:pPr>
              <w:spacing w:line="360" w:lineRule="auto"/>
              <w:jc w:val="left"/>
              <w:rPr>
                <w:rFonts w:hint="eastAsia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2024年2月27日，备案人住所由“福建省福州市闽侯县科技东路3号福州高新区海西高新技术产业园创新园12号楼”变更为“福建省闽侯县上街镇高新大道115-1号”；生产地址由“福州高新区海西高新技术产业园创新园12号楼”变更为“福建省闽侯县上街镇高新大道115-1号2号楼”；包装规格由“即用型：1.5ml/瓶、3.0ml/瓶、6.0ml/瓶、15ml/瓶；浓缩型：0.1ml/瓶、0.2ml/瓶、1.0ml/瓶”变更为“即用型：1.5ml/瓶、3.0ml/瓶、6.0ml/瓶、15ml/瓶、90ml/瓶；浓缩型：0.1ml/瓶、0.2ml/瓶、1.0ml/瓶、10ml/瓶”；主要组成成分由“Kappa链抗体试剂”变更为“由Kappa链抗体（兔多抗；或鼠单抗，克隆号L1C1）和缓冲液组成”；变更产品技术要求。</w:t>
            </w:r>
          </w:p>
          <w:p>
            <w:pPr>
              <w:spacing w:line="360" w:lineRule="auto"/>
              <w:jc w:val="left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bookmarkStart w:id="0" w:name="OLE_LINK1"/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2026年6月25日</w:t>
            </w:r>
            <w:bookmarkEnd w:id="0"/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，主要组成成分由“由Kappa链抗体（兔多抗；或鼠单抗，克隆号L1C1）和缓冲液组成。”变更为“由Kappa链抗体（兔多抗；或鼠单抗，克隆号L1C1；或鼠单抗，克隆号MX154）和缓冲液（磷酸钠盐、牛血清白蛋白、proclin950）组成。”；预期用途由“在常规染色(如：HE染色)基础上进行免疫组织化学染色，为医师提供诊断的辅助信息。”变更为“在常规染色（如：HE染色）基础上进行免疫组织化学染色，为病理医师提供诊断的辅助信息，不得用于指导临床用药或伴随诊断。”</w:t>
            </w:r>
          </w:p>
        </w:tc>
      </w:tr>
    </w:tbl>
    <w:p>
      <w:pPr>
        <w:rPr>
          <w:rFonts w:ascii="仿宋_GB2312" w:hAnsi="Times New Roman" w:eastAsia="仿宋_GB2312"/>
        </w:rPr>
        <w:sectPr>
          <w:footerReference r:id="rId3" w:type="default"/>
          <w:footerReference r:id="rId4" w:type="even"/>
          <w:pgSz w:w="11906" w:h="16838"/>
          <w:pgMar w:top="1928" w:right="1531" w:bottom="1814" w:left="1531" w:header="851" w:footer="1417" w:gutter="0"/>
          <w:cols w:space="720" w:num="1"/>
          <w:docGrid w:type="linesAndChars" w:linePitch="312" w:charSpace="0"/>
        </w:sectPr>
      </w:pPr>
    </w:p>
    <w:p>
      <w:pPr>
        <w:rPr>
          <w:rFonts w:ascii="仿宋_GB2312" w:hAnsi="Times New Roman" w:eastAsia="仿宋_GB2312"/>
        </w:rPr>
      </w:pPr>
    </w:p>
    <w:sectPr>
      <w:footerReference r:id="rId5" w:type="default"/>
      <w:type w:val="continuous"/>
      <w:pgSz w:w="11906" w:h="16838"/>
      <w:pgMar w:top="1928" w:right="1531" w:bottom="1814" w:left="1531" w:header="851" w:footer="1417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C52D3A1B-C24F-455D-B9FE-803D4B0CB746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E152BD75-D5F9-4630-9B85-29D12C46A05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92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zql5uc8AAAAFAQAADwAAAAAAAAABACAAAAAiAAAAZHJzL2Rvd25y&#10;ZXYueG1sUEsBAhQAFAAAAAgAh07iQIcqrAkHAgAABgQAAA4AAAAAAAAAAQAgAAAAHgEAAGRycy9l&#10;Mm9Eb2MueG1sUEsFBgAAAAAGAAYAWQEAAJc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2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—</w:t>
                    </w: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U4NzJjYmExNzA3NWU4NmNhY2FhYzRiYmY3YTg4ZmYifQ=="/>
  </w:docVars>
  <w:rsids>
    <w:rsidRoot w:val="21765334"/>
    <w:rsid w:val="004140C9"/>
    <w:rsid w:val="00E728EB"/>
    <w:rsid w:val="00EE28C7"/>
    <w:rsid w:val="00F12486"/>
    <w:rsid w:val="00F95202"/>
    <w:rsid w:val="017835B7"/>
    <w:rsid w:val="03E81519"/>
    <w:rsid w:val="05C64CAB"/>
    <w:rsid w:val="07454116"/>
    <w:rsid w:val="0A723813"/>
    <w:rsid w:val="0B9159CE"/>
    <w:rsid w:val="0F130A0E"/>
    <w:rsid w:val="124170B8"/>
    <w:rsid w:val="12EF6A8F"/>
    <w:rsid w:val="15376954"/>
    <w:rsid w:val="1C672639"/>
    <w:rsid w:val="1DEE4546"/>
    <w:rsid w:val="1E9523DE"/>
    <w:rsid w:val="213D3971"/>
    <w:rsid w:val="21765334"/>
    <w:rsid w:val="22222A35"/>
    <w:rsid w:val="226F1F03"/>
    <w:rsid w:val="22AD4B1E"/>
    <w:rsid w:val="252B23C9"/>
    <w:rsid w:val="2B2C3A68"/>
    <w:rsid w:val="2BA05B79"/>
    <w:rsid w:val="2BB853F9"/>
    <w:rsid w:val="2CA651DD"/>
    <w:rsid w:val="2DB974B7"/>
    <w:rsid w:val="319F6DAA"/>
    <w:rsid w:val="33CD7BDB"/>
    <w:rsid w:val="39BB2D14"/>
    <w:rsid w:val="3B2A6649"/>
    <w:rsid w:val="3C0229A9"/>
    <w:rsid w:val="3DB97E1C"/>
    <w:rsid w:val="3FBA588E"/>
    <w:rsid w:val="3FE0083B"/>
    <w:rsid w:val="41564881"/>
    <w:rsid w:val="44F65F1F"/>
    <w:rsid w:val="511E5EAA"/>
    <w:rsid w:val="51A27866"/>
    <w:rsid w:val="576D33E1"/>
    <w:rsid w:val="57D10F0C"/>
    <w:rsid w:val="5FC77464"/>
    <w:rsid w:val="5FF2593A"/>
    <w:rsid w:val="620E29EE"/>
    <w:rsid w:val="6C7160A5"/>
    <w:rsid w:val="6F527FEF"/>
    <w:rsid w:val="70443C73"/>
    <w:rsid w:val="70766CEB"/>
    <w:rsid w:val="72343B64"/>
    <w:rsid w:val="74EF756E"/>
    <w:rsid w:val="74FF2584"/>
    <w:rsid w:val="76032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618</Pages>
  <Words>191552</Words>
  <Characters>281470</Characters>
  <Lines>2</Lines>
  <Paragraphs>1</Paragraphs>
  <TotalTime>4</TotalTime>
  <ScaleCrop>false</ScaleCrop>
  <LinksUpToDate>false</LinksUpToDate>
  <CharactersWithSpaces>313181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2024-02-19T10:41:00Z</dcterms:created>
  <dc:creator>CHENJJ</dc:creator>
  <cp:lastModifiedBy>evecom</cp:lastModifiedBy>
  <dcterms:modified xsi:type="dcterms:W3CDTF">2026-06-25T06:06:40Z</dcterms:modified>
  <dc:title>第一类体外诊断试剂备案信息表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02EC96C8999B4865923B3AE8F9D4B1FA_11</vt:lpwstr>
  </property>
</Properties>
</file>